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ind w:firstLine="709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Правила</w:t>
      </w:r>
      <w:r/>
    </w:p>
    <w:p>
      <w:pPr>
        <w:pStyle w:val="602"/>
        <w:ind w:firstLine="709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обработки персональных данных</w:t>
      </w:r>
      <w:r/>
    </w:p>
    <w:p>
      <w:pPr>
        <w:pStyle w:val="602"/>
        <w:ind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</w:r>
      <w:r/>
    </w:p>
    <w:p>
      <w:pPr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Автономная некоммерческая организа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ция Центр культурного развития «Душа с душою говорит»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(сокращенное наименование -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АНО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Душа с душою говорит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(ИНН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9704105969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ОГРН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1217700600864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разработаны в соответствии с положениями законодательства Российской Федерации и Правилами использования Сервиса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Приложения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размещенными на сайте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ПРИЛОЖЕНИЕ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 адресу: </w:t>
      </w:r>
      <w:r>
        <w:rPr>
          <w:bCs/>
        </w:rPr>
        <w:t xml:space="preserve">https://dusha-art.ru/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Правила ПДн являются приложением к Правилам использования Сервиса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Приложения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их неотъемлемой частью. Принимая условия Правил использования Сервиса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Приложения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Пользователь автоматически принимает условия настоящих Правил ПДн.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/>
          <w:sz w:val="25"/>
          <w:szCs w:val="25"/>
        </w:rPr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Термины и определения.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***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Стороны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– Администрация и любой зарегистрированный в Приложении Пользователь.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Персональные данные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(ПДн)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— любая информация, относящаяся прямо или косвенно к определенному или определяемому физическому лицу (субъекту персональных данных).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Обработка персональных данных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Распространение персональных данных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— действия, направленные на раскрытие персональных данных неопределенному кругу лиц.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Предоставление персональных данных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— действия, направленные на раскрытие персональных данных определенному лицу или определенному кругу лиц.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Блокирование персональных данных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—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Уничтожение персональных данных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Обезличивание персональных данных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Информация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— сведения (сообщения, данные) независимо от формы их представления.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Документированная информация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—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Конфиденциальность персональных данных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- обязательное для соблюдения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ей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или иным получившим доступ к персональным данным лицом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требование не допускать их распространения без согласия субъекта персональных данных или наличия иного законного основания.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1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Общие положения.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.1.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Правила ПДн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устанавлива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 обязательства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 неразглашению и обеспечению режима защиты конфиденциальности персональных данных, которые Пользователь предоставляет.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.2.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Использование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Сервиса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Пользователем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означает согласие с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Правилами ПДн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условиями обработки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ей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персональных данных Пользователя.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случае несогласия с условиями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Правил ПДн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Пользователь обязуется прекратить использование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Сервиса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.3.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Персональные данные, разреш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нные к обработке в рамках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настоящих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Правил ПДн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предоставляются Пользователем добровольно пут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м заполнения различных форм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 регистрации в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Приложении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использовании Сервиса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 включают в себя следующую информацию: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фамилия, имя, отчество, дату, месяц и год рождения, данные документа, удостоверяющего личность (паспорта), номер ИНН, фото и видео своего личного изображения, номер телефона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адрес регистрации,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другую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аналогичн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информаци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сообщённ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 себе П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ользователем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на основании которой возможна идентификация субъекта персональных данных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.4.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вправе осуществлять с полученными персональными данными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ользователей все законные необходимые действия, связанные исключительно с достижением цел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ей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обозначенных в разделе 2 Правил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.5. Любая иная персональная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 конфиденциальная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информация, неоговоренная выше подлежит надежному хранению и нераспространению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ей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Пользователем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2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Основные принципы и ц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ели сбора персональной информации.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обрабатывает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ерсональные данные, которые необходимы для предоставления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ервис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Пользователю. 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.2.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Настоящим, Пользователь поручает Администрации и соглашается с тем, что Администрация: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обрабатывает персональные данные Пользователя в целях предоставления доступа к Сервису и его функционалу, проверки, исследования и анализа таких данных, позволяющих поддерживать и улучшать действующий функционал Сервиса, разрабатывать новый функционал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а также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иных, предусмотренных настоящими Правилами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ПДн, целях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принимает все необходимые меры для защиты персональных данных Пользователя от неправомерного доступа, изменения, раскрытия или уничтожения;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предоставляет доступ к персональным данным Пользователя только тем работникам, подрядчикам и агентам Администрации, которым эта информация необходима для обеспечения функционирования Сервиса и предоставления Пользователям доступа к его использованию;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будет и вправе использовать предоставленную Польз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ователем информацию, в том числе персональные данные, в целях обеспечения соблюдения требований действующего законодательства Российской Федерации (в том числе в целях предупреждения и/или пресечения незаконных и/или противоправных действий Пользователей).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.3. Принципы обработки персональных данных Пользователей: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обработка персональных данных должна осуществляться исключительно на законных основаниях и в интересах Пользователей;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обработка персональных данных должна ограничиваться достижением конкретных законных целей;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при обработке персональных данных обеспечивается точность, достаточность, а в необходимых случаях актуальность персональных данных;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2.4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Персональные данные Пользователя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обрабатывает в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целях: 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исполнения соглашени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 Пользователем по предоставлению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доступа к функционалу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Сервиса,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для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администрирования Сервиса;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идентификации Пользователя при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регистрации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Приложении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аутентификации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Пользователя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использовании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ервис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оказания услуг, обработки запросов и заявок от Пользователя;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установления с Пользователем обратной связи, включая направление уведомлений и запросов; 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подтверждения полноты персональных данных, предоставленных Пользователем;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заключени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 Пользователем договоров, осуществлени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взаиморасчетов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сбор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статистики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улучшения качества Сервиса, удобства его использования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разработк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новых сервисов и услуг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проведения маркетинговых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рекламных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мероприятий, направления предложений,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продвижения на рынке услуг путем осуществления прямых контакт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ов с потенциальным потребителем.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2.5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Пользователь осведомлен и согласен, что для целей, предусмотренных в Правилах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ПДн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Администрация вправе: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собирать и использовать дополнительную информацию, связанную с Пользователем, получаемую в процессе доступа Пользователя к Сервису или от третьих лиц, и включающ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себя данные о технических средствах (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том числе, мобильных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устройствах) и способах технологического взаимодействия с Сервисом (в т. ч. IP-адрес хоста, вид операционной системы Пользователя, тип браузера, географическое положение, данные о провайдере и иное), об активности Пользователя на Сервисе,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Cookie, об информации об ошибках, выдаваемых Пользователям, о скачанных файлах, видео, инструментах,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 также иные данные, получаемые установленными Правилами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ПДн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способами;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распоряжаться статистической информацией, связанной с функционированием Сервиса, а также информацией Пользователей для целей организации функционирования и технической поддержки Сервиса и исполнения условий настоящих Правил.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3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. Условия обработки персональной информации.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Обработка персональных данных Пользователя осуществляется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сроки, определенные п.3.5 Правил ПДн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любым законным способом, в том числе в информационных системах персональных данных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 испол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ьзованием средств автоматизации (в виде электронных образов документов)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за исключением случаев, когда неавтоматизированная обработка персональных данных необходима в связи с исполнением требований законодательства.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Обработка персональных данных Пользователей осуществляется в соответствии с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Конституцией Российской Федерацией,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Федеральным законом от 27.07.2006 № 152-ФЗ «О персональных данных»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настоящими Правилами ПДн.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3.2.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Источником информаци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 обо всех персональных данных П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ользователя является непосредственно сам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ользователь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Сервиса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Заполняя любую форму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и/или прикрепляя файл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 регистрации в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Приложении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при использовании Сервиса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П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ользователь тем самым дает согласие на обработку его персональных данных для целей, указанных в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разделе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Правил ПДн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Пользователь подтверждает права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обязательства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отношении созданной таким образом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своей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учетной записи.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3.3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Сервиса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Пользователь соглашается с тем, что определенная часть его персональной информации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результате действий Пользователя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становится общедоступной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для других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ользователей Сервиса и пользователей сети Интернет,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может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быть скопирована и/или распространена такими Пользователями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с учетом доступных настроек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конфиденциальности.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Общедоступной, является, в частности, следующая персональная информация Пользователей: фамилия, имя, отчество, номер телефона, серия и номер паспорта, закрытые маской (например, 65** 04***2). 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.4.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принимает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3.5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Администрация хранит информацию о Пользователе в течение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периода предоставления последнему доступа к Сервису, а также 3 (трех) месяцев с момента прекращения такого доступа по любым основаниям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В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случа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получения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Администрацией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заявления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Пользователя об отзыве согласия на обработку ПДн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Администрация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прекращает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обработку ПДн Пользователя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 даты, указанной в заявлении, но не ранее даты, следующей за датой фактического получения Администрацией отзыва.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3.6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Администрация осуществляет хранение персональных данных Пользователя и его сотрудников. При этом, Пользователь гарантирует, что получил согласие каждого своего сотрудника на передачу его персональных данных Администрации.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Администрация, являясь обработчиком персональных данных по поручению Пользователя, не обязана получат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ь согласие сотрудников Пользователя на обработку их персональных данных. Безоговорочно принимая условия настоящих Правил, Пользователь подтверждает, что он заблаговременно получил согласие своих сотрудников на передачу Администрации их персональных данных.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Ответственность перед сотрудниками Пользователя, чьи персональные данные обрабатываются Администрацией по поручению Пользователя, Пользователь несет самостоятельно.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Администрация обрабатывает персональные данные сотрудников Пользователя полностью в соответствии с положениями, предусмотренными настоящими Правилами.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3.7.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Администрация осуществляет обработку персональных данных следующими способами: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сбор, запись, систематизаци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накопление, хранение, уточнение (обновление, изменение), извлечение, использование, передач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(распространение, предоставление, доступ), обезличивание, блокирование, удаление, уничтожение персональных данных Пользователя.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Хранение Персональных данных Пользователей ос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уществляется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 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3.8. Администрация может осуществлять передачу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персональных данных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Пользовател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ей, включая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трансграничную передачу на территорию иностранных государств,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 условии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получения согласия Пользователя 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обеспечения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необходим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ой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защит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прав субъектов персональных данных, контрагентам Администрации, которые привлекаются Администрацией для оказания услуг по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поддержанию надлежащего технического состояния, работоспособности, модификации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Сервиса.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 этом хранение персональных данных граждан Российской Федерации за рубежом не осуществляется.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3.9. Если Пользователь не согласен с обработкой Администрацией его персональных, в том числе биометрических, данных, Пользователь не должен публиковать эту информацию или сообщать эти данные при регистрац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ии в Приложении и использовании Сервиса. Как только Пользователь предоставит свои персональные, в том числе биометрические, данные при регистрации в Приложении и использовании Сервиса Сервису, они будут доступны Администрации, другим пользователям Сервиса.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4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. Обязательства сторон.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.1. Пользователь обязан: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Предоставить корректную информацию о персональных данных, необходимую для целей, указанных в разделе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Правил ПДн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Обновить, дополнить предоставленную информацию о персональных данных в случае изменения данной информации.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.2.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обязан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: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Использовать полученную информацию исключительно для целей, указанных в разделе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Правил ПДн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Обеспечить хранение конфиденциальной информации в тайне.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Осуществить блокирование персональных данных, относящихся к соответствующему Пользователю, с момента обращения или запроса Пользователя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или его законного представителя,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 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.3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при обработке персональных данных обязан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принимать необходимые правовые, организационные и технические меры для защиты персонал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ьных данных от несанкционированного,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путем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: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разработки и внедрения в организации документов, регламентирующих работу с ПДн;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ограничения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регламентаци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состава работников, имеющих доступ к персональным данным; 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реализаци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разрешительной системы доступа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Пользователей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 информационным ресурсам, программно-аппаратным средствам обработки и защиты информации;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осуществления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антиви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русного контроля, предотвращения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внедрения в корпоративную сеть вредоносных программ (программ-вирусов) и программных закладок; 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обнаружения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вторжений в корпоративную сеть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нарушающих или создающих предпосылки к нарушению установленных требований по обеспечению безопасности персональных данных;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резервно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го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копирование информации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.4. При определении объема и содержания обрабатываемых персональных данных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руководствуется Конституцией 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оссийской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Ф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едерации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Федеральным закон от 27.07.2006 № 152-ФЗ «О персональных данных»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настоящими Правилами ПДн.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.5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обязуется обеспечить недопущение несанкционированного и нецелевого доступа к персональным данным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Пользователей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Сервиса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 этом санкционированным и целевым доступом к персональным данным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ользователей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Сервиса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будет считаться доступ уполномоченных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Администрацией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лиц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рамках цел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ей деятельности и тематике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Сервиса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5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Ответственность 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сторон и разрешение споров.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не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исполнившая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свои обязательства, несёт ответственность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перед Пользователем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прямой фактический ущерб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связи с неправомерным использованием персональных данных в соответствии с законодательством Российской Федерации.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.2. В случае утраты или разглашения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персональных данных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не несёт ответственность, если данная информация: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с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тала публичным достояни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ем до её утраты или разглашения;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б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ыла получена от третьей стороны до момента её получения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Администрацией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;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б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ыла разглашена с согласия Пользователя.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.3. К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Правилам ПДн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отношениям между Пользователем 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ей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применяется действующее законодательство Российской Федерации.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случае возникновения любых споров или разногласий, связанных с исполнением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Правил ПДн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Пользователь 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приложат все усилия для их разрешения путем проведения переговоров между ними. В случае, если споры не будут разрешены путем переговоров, споры подлежат разрешению в порядке, установленном действующим законодательством Российской Федерации.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.4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До обращения в суд с иском по спорам, возникающим из отношений между Пользователем 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ей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обязательным является предъявление претензии.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Получатель претензии в течение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10 (десяти)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дней со дня получения претензии, письменно уведомляет заявителя претензии о результатах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ее рассмотрения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6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. Заключительные положения.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.1. Настоящ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Правила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ПДн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действу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 в течение неопределенного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срока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а в части согласия Пользователя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 обработку ПДн -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до момента его отзыва П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ользователем путем направления соответствующего уведомления на электронный адрес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а также путем письменного обращения по юридическому адресу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Выбранный способ обращения должен гарантировать возможность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Администраци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достоверно идентифицировать обратившееся лицо.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.2.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Правила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ПДн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явля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тся открытым и общедоступным документом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располага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 сайте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ПРИЛОЖЕНИЕ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 адресу: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https://dusha-art.ru/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6.3. Пользователь может обратиться к Администрации с требованием об уточнении, изменении, блокировании, отзыве и т.д. своих персональных дан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ных по адресу электронной почты 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 xml:space="preserve">info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@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 xml:space="preserve">dusha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 xml:space="preserve">art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АНО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instrText xml:space="preserve"> DOCPROPERTY  ClientCorpName  \* MERGEFORMAT </w:instrTex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«Душа с душою говорит»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fldChar w:fldCharType="end"/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ОГРН 1217700600864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ИНН/КПП 9704105969/770401001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Р/с 40703810301500001701 в ТОЧКА ПАО БАНКА "ФК ОТКРЫТИЕ"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br/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к/с 30101810845250000999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БИК 044525999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Российская Федерация,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119002,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.Москва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ул. Арбат, д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этаж 1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пом.6/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ком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офис 20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en-US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Тел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 xml:space="preserve">+7 916 423 54 59</w:t>
      </w:r>
      <w:r/>
    </w:p>
    <w:p>
      <w:pPr>
        <w:pStyle w:val="602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en-US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 xml:space="preserve">E-mail: 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 xml:space="preserve">info@dusha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 xml:space="preserve">art.ru</w:t>
      </w:r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uiPriority w:val="1"/>
    <w:qFormat/>
    <w:pPr>
      <w:spacing w:after="0" w:line="240" w:lineRule="auto"/>
    </w:pPr>
  </w:style>
  <w:style w:type="character" w:styleId="603">
    <w:name w:val="annotation reference"/>
    <w:basedOn w:val="599"/>
    <w:uiPriority w:val="99"/>
    <w:semiHidden/>
    <w:unhideWhenUsed/>
    <w:rPr>
      <w:sz w:val="16"/>
      <w:szCs w:val="16"/>
    </w:rPr>
  </w:style>
  <w:style w:type="paragraph" w:styleId="604">
    <w:name w:val="annotation text"/>
    <w:basedOn w:val="598"/>
    <w:link w:val="60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05" w:customStyle="1">
    <w:name w:val="Текст примечания Знак"/>
    <w:basedOn w:val="599"/>
    <w:link w:val="604"/>
    <w:uiPriority w:val="99"/>
    <w:semiHidden/>
    <w:rPr>
      <w:sz w:val="20"/>
      <w:szCs w:val="20"/>
    </w:rPr>
  </w:style>
  <w:style w:type="paragraph" w:styleId="606">
    <w:name w:val="annotation subject"/>
    <w:basedOn w:val="604"/>
    <w:next w:val="604"/>
    <w:link w:val="607"/>
    <w:uiPriority w:val="99"/>
    <w:semiHidden/>
    <w:unhideWhenUsed/>
    <w:rPr>
      <w:b/>
      <w:bCs/>
    </w:rPr>
  </w:style>
  <w:style w:type="character" w:styleId="607" w:customStyle="1">
    <w:name w:val="Тема примечания Знак"/>
    <w:basedOn w:val="605"/>
    <w:link w:val="606"/>
    <w:uiPriority w:val="99"/>
    <w:semiHidden/>
    <w:rPr>
      <w:b/>
      <w:bCs/>
      <w:sz w:val="20"/>
      <w:szCs w:val="20"/>
    </w:rPr>
  </w:style>
  <w:style w:type="paragraph" w:styleId="608">
    <w:name w:val="Balloon Text"/>
    <w:basedOn w:val="598"/>
    <w:link w:val="60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09" w:customStyle="1">
    <w:name w:val="Текст выноски Знак"/>
    <w:basedOn w:val="599"/>
    <w:link w:val="608"/>
    <w:uiPriority w:val="99"/>
    <w:semiHidden/>
    <w:rPr>
      <w:rFonts w:ascii="Segoe UI" w:hAnsi="Segoe UI" w:cs="Segoe UI"/>
      <w:sz w:val="18"/>
      <w:szCs w:val="18"/>
    </w:rPr>
  </w:style>
  <w:style w:type="character" w:styleId="610">
    <w:name w:val="Hyperlink"/>
    <w:basedOn w:val="599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5AA0EA9-F2B1-485D-84CE-A7AD6771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Хомякова</dc:creator>
  <cp:keywords/>
  <dc:description/>
  <cp:lastModifiedBy>Ирина П.</cp:lastModifiedBy>
  <cp:revision>3</cp:revision>
  <dcterms:created xsi:type="dcterms:W3CDTF">2022-08-09T11:07:00Z</dcterms:created>
  <dcterms:modified xsi:type="dcterms:W3CDTF">2022-08-09T11:10:22Z</dcterms:modified>
</cp:coreProperties>
</file>